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коро-в-царицыно"/>
    <w:p>
      <w:pPr>
        <w:pStyle w:val="Heading3"/>
      </w:pPr>
      <w:r>
        <w:t xml:space="preserve">Скоро в Царицыно!</w:t>
      </w:r>
    </w:p>
    <w:p>
      <w:pPr>
        <w:pStyle w:val="FirstParagraph"/>
      </w:pPr>
      <w:r>
        <w:t xml:space="preserve">06.04.2017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tbl>
                  <w:tblPr>
                    <w:tblStyle w:val="Table"/>
                    <w:tblW w:type="pct" w:w="5000"/>
                    <w:tblLook w:firstRow="0" w:lastRow="0" w:firstColumn="0" w:lastColumn="0" w:noHBand="0" w:noVBand="0" w:val="0000"/>
                  </w:tblPr>
                  <w:tblGrid>
                    <w:gridCol w:w="7920"/>
                  </w:tblGrid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left"/>
                          <w:jc w:val="left"/>
                        </w:pPr>
                        <w:hyperlink r:id="rId20">
                          <w:r>
                            <w:rPr>
                              <w:rStyle w:val="Hyperlink"/>
                            </w:rPr>
                            <w:t xml:space="preserve">«Садовый спектакль. Искусство пейзажного парка в Европе и России»</w:t>
                          </w:r>
                        </w:hyperlink>
                        <w:r>
                          <w:t xml:space="preserve"> </w:t>
                        </w:r>
                        <w:r>
                          <w:t xml:space="preserve">— это первый в России выставочный проект, посвященный пейзажному (английскому) стилю в садовом искусстве Европы и России XVIII — первой половины XIX веков. Двадцать российских музеев, библиотек и архивов, в том числе все музеи-заповедники пригородов Санкт-Петербурга, предоставили для экспозиции более 350 предметов — некоторые из них никогда не демонстрировались широкой публике.</w:t>
                        </w:r>
                        <w:r>
                          <w:br/>
                        </w:r>
                        <w:r>
                          <w:br/>
                        </w:r>
                        <w:r>
                          <w:t xml:space="preserve">В рамках выставки 22–24 мая в музее-заповеднике «Царицыно» и РГГУ пройдет конференция</w:t>
                        </w:r>
                        <w:r>
                          <w:t xml:space="preserve"> </w:t>
                        </w:r>
                        <w:hyperlink r:id="rId21">
                          <w:r>
                            <w:rPr>
                              <w:rStyle w:val="Hyperlink"/>
                            </w:rPr>
                            <w:t xml:space="preserve">«Пейзажный парк: три века истории»</w:t>
                          </w:r>
                        </w:hyperlink>
                        <w:r>
                          <w:t xml:space="preserve">.</w:t>
                        </w:r>
                      </w:p>
                    </w:tc>
                  </w:tr>
                </w:tbl>
                <w:p/>
              </w:tc>
            </w:tr>
          </w:tbl>
          <w:p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tbl>
                  <w:tblPr>
                    <w:tblStyle w:val="Table"/>
                    <w:tblW w:type="pct" w:w="5000"/>
                    <w:tblLook w:firstRow="0" w:lastRow="0" w:firstColumn="0" w:lastColumn="0" w:noHBand="0" w:noVBand="0" w:val="0000"/>
                  </w:tblPr>
                  <w:tblGrid>
                    <w:gridCol w:w="7920"/>
                  </w:tblGrid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left"/>
                          <w:jc w:val="left"/>
                        </w:pPr>
                        <w:r>
                          <w:rPr>
                            <w:bCs/>
                            <w:b/>
                          </w:rPr>
                          <w:t xml:space="preserve">Субботник в «Царицыно»</w:t>
                        </w:r>
                      </w:p>
                    </w:tc>
                  </w:tr>
                </w:tbl>
                <w:p/>
              </w:tc>
            </w:tr>
          </w:tbl>
          <w:p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tbl>
                  <w:tblPr>
                    <w:tblStyle w:val="Table"/>
                    <w:tblW w:type="pct" w:w="5000"/>
                    <w:tblLook w:firstRow="0" w:lastRow="0" w:firstColumn="0" w:lastColumn="0" w:noHBand="0" w:noVBand="0" w:val="0000"/>
                  </w:tblPr>
                  <w:tblGrid>
                    <w:gridCol w:w="7920"/>
                  </w:tblGrid>
                  <w:tr>
                    <w:tc>
                      <w:tcPr/>
                      <w:p>
                        <w:pPr>
                          <w:pStyle w:val="Compact"/>
                        </w:pP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left"/>
                          <w:jc w:val="left"/>
                        </w:pPr>
                        <w:r>
                          <w:rPr>
                            <w:bCs/>
                            <w:b/>
                          </w:rPr>
                          <w:t xml:space="preserve">8 апреля, 10:00. Визит-центр</w:t>
                        </w:r>
                        <w:r>
                          <w:br/>
                        </w:r>
                        <w:r>
                          <w:t xml:space="preserve">Государственный музей-заповедник «Царицыно» приглашает друзей и соседей принять участие в субботнике – будем сообща, в веселой компании готовить почву для весенних и летних радостей в парке! Давайте не просто встречать, а приближать весну!</w:t>
                        </w:r>
                        <w:r>
                          <w:br/>
                        </w:r>
                        <w:r>
                          <w:t xml:space="preserve">Взрослые будут убирать территорию парка, а детей ждут мастер-классы по раскрашиванию и развешиванию кормушек для птиц и белок. Всем добровольцам будет предоставлен необходимый инвентарь – лопаты, грабли и одноразовые перчатки.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tbl>
                  <w:tblPr>
                    <w:tblStyle w:val="Table"/>
                    <w:tblW w:type="pct" w:w="5000"/>
                    <w:tblLook w:firstRow="0" w:lastRow="0" w:firstColumn="0" w:lastColumn="0" w:noHBand="0" w:noVBand="0" w:val="0000"/>
                  </w:tblPr>
                  <w:tblGrid>
                    <w:gridCol w:w="7920"/>
                  </w:tblGrid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left"/>
                          <w:jc w:val="left"/>
                        </w:pPr>
                        <w:r>
                          <w:rPr>
                            <w:bCs/>
                            <w:b/>
                          </w:rPr>
                          <w:t xml:space="preserve">Концерты</w:t>
                        </w:r>
                      </w:p>
                    </w:tc>
                  </w:tr>
                </w:tbl>
                <w:p/>
              </w:tc>
            </w:tr>
          </w:tbl>
          <w:p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tbl>
                  <w:tblPr>
                    <w:tblStyle w:val="Table"/>
                    <w:tblW w:type="pct" w:w="5000"/>
                    <w:tblLook w:firstRow="0" w:lastRow="0" w:firstColumn="0" w:lastColumn="0" w:noHBand="0" w:noVBand="0" w:val="0000"/>
                  </w:tblPr>
                  <w:tblGrid>
                    <w:gridCol w:w="7920"/>
                  </w:tblGrid>
                  <w:tr>
                    <w:tc>
                      <w:tcPr/>
                      <w:p>
                        <w:pPr>
                          <w:pStyle w:val="Compact"/>
                        </w:pP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left"/>
                          <w:jc w:val="left"/>
                        </w:pPr>
                        <w:r>
                          <w:rPr>
                            <w:bCs/>
                            <w:b/>
                          </w:rPr>
                          <w:t xml:space="preserve">Рапсодия для арфы и органа</w:t>
                        </w:r>
                        <w:r>
                          <w:br/>
                        </w:r>
                        <w:r>
                          <w:rPr>
                            <w:bCs/>
                            <w:b/>
                          </w:rPr>
                          <w:t xml:space="preserve">8 апреля, 17:00. Хлебный дом</w:t>
                        </w:r>
                        <w:r>
                          <w:br/>
                        </w:r>
                        <w:r>
                          <w:t xml:space="preserve">Прозвучат сочинения композиторов XIX–XX веков для арфы и органа. Пьесы Глинки, Сен-Санса, Малера дополнят редко исполняемые произведения Бланко, Воммса, Хаувеллса и Томаса в исполнении лауреатов международных конкурсов Олеси Кравченко (орган) и Надежды Сергеевой (арфа).</w:t>
                        </w:r>
                        <w:r>
                          <w:br/>
                        </w:r>
                        <w:hyperlink r:id="rId22">
                          <w:r>
                            <w:rPr>
                              <w:rStyle w:val="Hyperlink"/>
                              <w:bCs/>
                              <w:b/>
                            </w:rPr>
                            <w:t xml:space="preserve">Цена билета</w:t>
                          </w:r>
                        </w:hyperlink>
                        <w:r>
                          <w:t xml:space="preserve">: 500 рублей.</w:t>
                        </w:r>
                        <w:r>
                          <w:br/>
                        </w:r>
                        <w:r>
                          <w:br/>
                        </w:r>
                        <w:r>
                          <w:rPr>
                            <w:bCs/>
                            <w:b/>
                          </w:rPr>
                          <w:t xml:space="preserve">Струны и клавиши</w:t>
                        </w:r>
                        <w:r>
                          <w:br/>
                        </w:r>
                        <w:r>
                          <w:rPr>
                            <w:bCs/>
                            <w:b/>
                          </w:rPr>
                          <w:t xml:space="preserve">9 апреля, 16:00. Хлебный дом</w:t>
                        </w:r>
                        <w:r>
                          <w:br/>
                        </w:r>
                        <w:r>
                          <w:t xml:space="preserve">Ансамблевые сочинения композиторов прошлого и современности для гитары и виолончели, гитары и органа, для гитарного дуэта исполнят лауреаты международных конкурсов, выпускники Московской государственной консерватории имени П. И. Чайковского и Российской академии музыки имени Гнесиных.</w:t>
                        </w:r>
                        <w:r>
                          <w:br/>
                        </w:r>
                        <w:hyperlink r:id="rId23">
                          <w:r>
                            <w:rPr>
                              <w:rStyle w:val="Hyperlink"/>
                              <w:bCs/>
                              <w:b/>
                            </w:rPr>
                            <w:t xml:space="preserve">Цена билета</w:t>
                          </w:r>
                        </w:hyperlink>
                        <w:r>
                          <w:t xml:space="preserve">: 500 рублей.</w:t>
                        </w:r>
                      </w:p>
                    </w:tc>
                  </w:tr>
                </w:tbl>
                <w:p/>
              </w:tc>
            </w:tr>
          </w:tbl>
          <w:p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tbl>
                  <w:tblPr>
                    <w:tblStyle w:val="Table"/>
                    <w:tblW w:type="pct" w:w="5000"/>
                    <w:tblLook w:firstRow="0" w:lastRow="0" w:firstColumn="0" w:lastColumn="0" w:noHBand="0" w:noVBand="0" w:val="0000"/>
                  </w:tblPr>
                  <w:tblGrid>
                    <w:gridCol w:w="7920"/>
                  </w:tblGrid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left"/>
                          <w:jc w:val="left"/>
                        </w:pPr>
                        <w:r>
                          <w:rPr>
                            <w:bCs/>
                            <w:b/>
                          </w:rPr>
                          <w:t xml:space="preserve">Лекция «Жизнь и стихи Г. Державина»</w:t>
                        </w:r>
                      </w:p>
                    </w:tc>
                  </w:tr>
                </w:tbl>
                <w:p/>
              </w:tc>
            </w:tr>
          </w:tbl>
          <w:p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tbl>
                  <w:tblPr>
                    <w:tblStyle w:val="Table"/>
                    <w:tblW w:type="pct" w:w="5000"/>
                    <w:tblLook w:firstRow="0" w:lastRow="0" w:firstColumn="0" w:lastColumn="0" w:noHBand="0" w:noVBand="0" w:val="0000"/>
                  </w:tblPr>
                  <w:tblGrid>
                    <w:gridCol w:w="7920"/>
                  </w:tblGrid>
                  <w:tr>
                    <w:tc>
                      <w:tcPr/>
                      <w:p>
                        <w:pPr>
                          <w:pStyle w:val="Compact"/>
                        </w:pP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left"/>
                          <w:jc w:val="left"/>
                        </w:pPr>
                        <w:r>
                          <w:rPr>
                            <w:bCs/>
                            <w:b/>
                          </w:rPr>
                          <w:t xml:space="preserve">9 апреля, 15:00. Большой дворец</w:t>
                        </w:r>
                        <w:r>
                          <w:br/>
                        </w:r>
                        <w:r>
                          <w:t xml:space="preserve">Лекция приурочена к открытию выставки одной картины в Большом дворце в рамках постоянно меняющейся экспозиции «Екатерина II. Золотой век Российской империи». Надежда Шапиро расскажет об одном из крупнейших поэтов XVIII века – Гаврииле Державине, чей портрет кисти Сальваторе Тончи приехал к нам из Государственной Третьяковской галереи. Слушателям расскажут о жизни и творчестве Державина, о том, какими предстают мир, страна и человек в его стихах, о вкладе Державина в русскую поэзию.</w:t>
                        </w:r>
                        <w:r>
                          <w:br/>
                        </w:r>
                        <w:hyperlink r:id="rId24">
                          <w:r>
                            <w:rPr>
                              <w:rStyle w:val="Hyperlink"/>
                              <w:bCs/>
                              <w:b/>
                            </w:rPr>
                            <w:t xml:space="preserve">Участие в лекции</w:t>
                          </w:r>
                          <w:r>
                            <w:rPr>
                              <w:rStyle w:val="Hyperlink"/>
                            </w:rPr>
                            <w:t xml:space="preserve"> </w:t>
                          </w:r>
                          <w:r>
                            <w:rPr>
                              <w:rStyle w:val="Hyperlink"/>
                            </w:rPr>
                            <w:t xml:space="preserve">– по билету на выставку</w:t>
                          </w:r>
                        </w:hyperlink>
                        <w:r>
                          <w:t xml:space="preserve">.</w:t>
                        </w:r>
                      </w:p>
                    </w:tc>
                  </w:tr>
                </w:tbl>
                <w:p/>
              </w:tc>
            </w:tr>
          </w:tbl>
          <w:p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tbl>
                  <w:tblPr>
                    <w:tblStyle w:val="Table"/>
                    <w:tblW w:type="pct" w:w="5000"/>
                    <w:tblLook w:firstRow="0" w:lastRow="0" w:firstColumn="0" w:lastColumn="0" w:noHBand="0" w:noVBand="0" w:val="0000"/>
                  </w:tblPr>
                  <w:tblGrid>
                    <w:gridCol w:w="7920"/>
                  </w:tblGrid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left"/>
                          <w:jc w:val="left"/>
                        </w:pPr>
                        <w:r>
                          <w:rPr>
                            <w:bCs/>
                            <w:b/>
                          </w:rPr>
                          <w:t xml:space="preserve">Весенние каникулы в «Царицыно»</w:t>
                        </w:r>
                      </w:p>
                    </w:tc>
                  </w:tr>
                </w:tbl>
                <w:p/>
              </w:tc>
            </w:tr>
          </w:tbl>
          <w:p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tbl>
                  <w:tblPr>
                    <w:tblStyle w:val="Table"/>
                    <w:tblW w:type="pct" w:w="5000"/>
                    <w:tblLook w:firstRow="0" w:lastRow="0" w:firstColumn="0" w:lastColumn="0" w:noHBand="0" w:noVBand="0" w:val="0000"/>
                  </w:tblPr>
                  <w:tblGrid>
                    <w:gridCol w:w="7920"/>
                  </w:tblGrid>
                  <w:tr>
                    <w:tc>
                      <w:tcPr/>
                      <w:p>
                        <w:pPr>
                          <w:pStyle w:val="Compact"/>
                        </w:pP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left"/>
                          <w:jc w:val="left"/>
                        </w:pPr>
                        <w:r>
                          <w:rPr>
                            <w:bCs/>
                            <w:b/>
                          </w:rPr>
                          <w:t xml:space="preserve">11 – 15 апреля, 11:00</w:t>
                        </w:r>
                        <w:r>
                          <w:br/>
                        </w:r>
                        <w:r>
                          <w:t xml:space="preserve">Для детей от 7 до 10 лет в музее-заповеднике «Царицыно» пройдет специальная каникулярная программа для тех, кто учится по триместрам. Дети познакомятся с музеем, парком, оранжереями, перевоплотятся в дам и кавалеров XVIII века, найдут сокровища во дворце, освоят придворный этикет и подготовятся к балу-маскараду, будут расписывать фарфор и деревянные ложки.</w:t>
                        </w:r>
                      </w:p>
                      <w:p>
                        <w:pPr>
                          <w:pStyle w:val="Compact"/>
                          <w:jc w:val="left"/>
                          <w:jc w:val="left"/>
                          <w:jc w:val="left"/>
                        </w:pPr>
                        <w:hyperlink r:id="rId25">
                          <w:r>
                            <w:rPr>
                              <w:rStyle w:val="Hyperlink"/>
                            </w:rPr>
                            <w:t xml:space="preserve">Стоимость участия в программе одного дня</w:t>
                          </w:r>
                        </w:hyperlink>
                        <w:r>
                          <w:t xml:space="preserve"> </w:t>
                        </w:r>
                        <w:r>
                          <w:t xml:space="preserve">– 750 рублей.</w:t>
                        </w:r>
                        <w:r>
                          <w:br/>
                        </w:r>
                        <w:r>
                          <w:t xml:space="preserve">Родители сопровождают ребенка по входному билету в музей.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http://nagatino-sadovniki.mos.ru/socio-educational-and-leisure-work-with-population/news-sport-and-leisure/detail/5531235.html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5531235.html" TargetMode="External" /><Relationship Type="http://schemas.openxmlformats.org/officeDocument/2006/relationships/hyperlink" Id="rId23" Target="http://tickets.tsaritsyno.net/ru/scheme/8447/09.04.2017/16%3A00" TargetMode="External" /><Relationship Type="http://schemas.openxmlformats.org/officeDocument/2006/relationships/hyperlink" Id="rId22" Target="http://tickets.tsaritsyno.net/ru/scheme/8830/08.04.2017/17%3A00" TargetMode="External" /><Relationship Type="http://schemas.openxmlformats.org/officeDocument/2006/relationships/hyperlink" Id="rId25" Target="http://www.tsaritsyno-museum.ru/events/2017/programmes/vesennie_kanikuli_2/index.php" TargetMode="External" /><Relationship Type="http://schemas.openxmlformats.org/officeDocument/2006/relationships/hyperlink" Id="rId24" Target="http://www.tsaritsyno-museum.ru/exhibitions/expo/grand_palace/ekaterina_the_second/index.php" TargetMode="External" /><Relationship Type="http://schemas.openxmlformats.org/officeDocument/2006/relationships/hyperlink" Id="rId21" Target="http://www.tsaritsyno-museum.ru/museum/conferences/peyzazhniy_park_tri_veka_istorii/index.php" TargetMode="External" /><Relationship Type="http://schemas.openxmlformats.org/officeDocument/2006/relationships/hyperlink" Id="rId20" Target="http://www.tsaritsyno-museum.ru/news/archive/2017/04/otkritie_sadoviy_spektakl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5531235.html" TargetMode="External" /><Relationship Type="http://schemas.openxmlformats.org/officeDocument/2006/relationships/hyperlink" Id="rId23" Target="http://tickets.tsaritsyno.net/ru/scheme/8447/09.04.2017/16%3A00" TargetMode="External" /><Relationship Type="http://schemas.openxmlformats.org/officeDocument/2006/relationships/hyperlink" Id="rId22" Target="http://tickets.tsaritsyno.net/ru/scheme/8830/08.04.2017/17%3A00" TargetMode="External" /><Relationship Type="http://schemas.openxmlformats.org/officeDocument/2006/relationships/hyperlink" Id="rId25" Target="http://www.tsaritsyno-museum.ru/events/2017/programmes/vesennie_kanikuli_2/index.php" TargetMode="External" /><Relationship Type="http://schemas.openxmlformats.org/officeDocument/2006/relationships/hyperlink" Id="rId24" Target="http://www.tsaritsyno-museum.ru/exhibitions/expo/grand_palace/ekaterina_the_second/index.php" TargetMode="External" /><Relationship Type="http://schemas.openxmlformats.org/officeDocument/2006/relationships/hyperlink" Id="rId21" Target="http://www.tsaritsyno-museum.ru/museum/conferences/peyzazhniy_park_tri_veka_istorii/index.php" TargetMode="External" /><Relationship Type="http://schemas.openxmlformats.org/officeDocument/2006/relationships/hyperlink" Id="rId20" Target="http://www.tsaritsyno-museum.ru/news/archive/2017/04/otkritie_sadoviy_spektakl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2024-11-16T02:54:47Z</dcterms:created>
  <dcterms:modified xsi:type="dcterms:W3CDTF">2024-11-16T02:54:47Z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