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4046aeb35280963cffd046b112ca39035b673"/>
    <w:p>
      <w:pPr>
        <w:pStyle w:val="Heading3"/>
      </w:pPr>
      <w:r>
        <w:t xml:space="preserve">Прямая линия» по вопросам антикоррупционного просвещения 22 ноября 2022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t xml:space="preserve">В Московской городской военной прокуратуре с 9 до 17 часов 22 ноября 2022 года будет проводится «прямая линия» с гражданами по вопросам антикоррупционного просвещения (в рамках компетенции органов военной прокуратуры).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Телефон «прямой линии»</w:t>
      </w:r>
      <w:r>
        <w:t xml:space="preserve"> </w:t>
      </w:r>
      <w:r>
        <w:t xml:space="preserve">8-495-693-55-21.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http://nagatino-sadovniki.mos.ru/safety-and-security/voennaya-prokuratura/detail/11215972.html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1215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1215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2024-08-28T06:58:39Z</dcterms:created>
  <dcterms:modified xsi:type="dcterms:W3CDTF">2024-08-28T06:58:39Z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