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7bebc979c95c7afe8f47825499be4223182a"/>
    <w:p>
      <w:pPr>
        <w:pStyle w:val="Heading3"/>
      </w:pPr>
      <w:r>
        <w:t xml:space="preserve">В Москве военными прокурорами восстановлены жилищные права военнослужащих, а также членов их семей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жилищных правах военнослужащих и членов их семей, проживающих в общежитиях на территории г. Москвы.</w:t>
      </w:r>
    </w:p>
    <w:p>
      <w:pPr>
        <w:pStyle w:val="BodyText"/>
      </w:pPr>
      <w:r>
        <w:t xml:space="preserve">Установлено, что на протяжении длительного времени обслуживающей компанией не принимались меры по организации технического обслуживания</w:t>
      </w:r>
      <w:r>
        <w:br/>
      </w:r>
      <w:r>
        <w:t xml:space="preserve">и содержания общежитий, что повлекло за собой ущемление прав граждан</w:t>
      </w:r>
      <w:r>
        <w:br/>
      </w:r>
      <w:r>
        <w:t xml:space="preserve">на благоприятные условия проживания.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произведен текущий ремонт общежитий, восстановлены права более 1500 военнослужащих и членов 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2023-07-13T15:22:08Z</dcterms:created>
  <dcterms:modified xsi:type="dcterms:W3CDTF">2023-07-13T15:22:08Z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