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еративная-информация-от-26.06.2025"/>
    <w:p>
      <w:pPr>
        <w:pStyle w:val="Heading3"/>
      </w:pPr>
      <w:r>
        <w:t xml:space="preserve">Оперативная информация от 26.06.2025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️Межрайонной прокуратурой проведена проверка исполнения законодательства о защите детей от информации, причиняющей вред их здоровью и развитию, при организации концерта зарубежного исполнителя 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проверке установлено, что 31.05.2025 на поднадзорной межрайонной прокуратуре территории запланирован концерт зарубежного исполнителя с возрастным ограничением 16+.</w:t>
      </w:r>
    </w:p>
    <w:p>
      <w:pPr>
        <w:pStyle w:val="BodyText"/>
      </w:pPr>
      <w:r>
        <w:t xml:space="preserve">Изучение концертного плей-листа показало наличие ряда композиций, исполнение которых запрещено на территории Российской Федерации для лиц младше 18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результатам принятых мер прокурорского реагирования возрастное ограничение изменено, концерт проведен с соблюдением требований федерального законодательства, виновные должностные лица привлечены к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http://nagatino-sadovniki.mos.ru/safety-and-security/the-prosecutor-s-office-informs/detail/13063564.html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63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63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2025-06-26T21:47:11Z</dcterms:created>
  <dcterms:modified xsi:type="dcterms:W3CDTF">2025-06-26T21:47:11Z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