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5.06.2025"/>
    <w:p>
      <w:pPr>
        <w:pStyle w:val="Heading3"/>
      </w:pPr>
      <w:r>
        <w:t xml:space="preserve">Оперативная информация от 25.06.2025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39-летней местной жительницы, совершившей преступление, предусмотренное п. «в» ч. 2 ст. 158 УК РФ (кража, то есть тайное хищение чужого имущества, с причинением значительного ущерба гражданину).</w:t>
      </w:r>
    </w:p>
    <w:p>
      <w:pPr>
        <w:pStyle w:val="BodyText"/>
      </w:pPr>
      <w:r>
        <w:t xml:space="preserve">Так, обвиняемая, находясь в состоянии алкогольного обвинения, имея умысел на тайное хищение, зайдя в межквартирный тамбур, путём открытого доступа, обнаружила на вешалке куртку зелёного цвета марки «Nike», в кармане которой находились наушники белого цвета марки «Apple AirPods Pro 2» в прозрачном силиконовом чехле, на обувнице обнаружила кроссовки песочного (коричневого) цвета марки «Timberland».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http://nagatino-sadovniki.mos.ru/safety-and-security/the-prosecutor-s-office-informs/detail/13063490.html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2025-06-26T18:50:03Z</dcterms:created>
  <dcterms:modified xsi:type="dcterms:W3CDTF">2025-06-26T18:50:03Z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