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43887f7996d5685811a5220f838160f88cfa1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отношении 47-летнего уроженца Республики Беларусь, совершившего преступление, предусмотренное ч. 1 ст. 105 УК РФ (убийство).</w:t>
      </w:r>
    </w:p>
    <w:p>
      <w:pPr>
        <w:pStyle w:val="BodyText"/>
      </w:pPr>
      <w:r>
        <w:t xml:space="preserve">Так, мужчина в состоянии алкогольного опьянения, находясь в квартире знакомого, в ходе ссоры с последним, возникшей на почве личных неприязненных отношений, нанес погибшему клинком кухонного ножа</w:t>
      </w:r>
      <w:r>
        <w:br/>
      </w:r>
      <w:r>
        <w:t xml:space="preserve">не менее восьми ударов по туловищу и верхним конечностям от чего последний скончался в больнице.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</w:t>
      </w:r>
      <w:r>
        <w:br/>
      </w:r>
      <w:r>
        <w:t xml:space="preserve">г. Москвы для рассмотрения по существу, обвиняемому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2025-07-29T07:43:52Z</dcterms:created>
  <dcterms:modified xsi:type="dcterms:W3CDTF">2025-07-29T07:43:52Z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