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ae15cec86a71e7b17693f7ab7f96354162b4ee"/>
    <w:p>
      <w:pPr>
        <w:pStyle w:val="Heading3"/>
      </w:pPr>
      <w:r>
        <w:t xml:space="preserve">Памятка для граждан о правилах пользования газовыми приборами и газом в быту!</w:t>
      </w:r>
    </w:p>
    <w:p>
      <w:pPr>
        <w:pStyle w:val="FirstParagraph"/>
      </w:pPr>
      <w:r>
        <w:t xml:space="preserve">19.10.2022</w:t>
      </w:r>
    </w:p>
    <w:p>
      <w:pPr>
        <w:pStyle w:val="BodyText"/>
      </w:pPr>
      <w:r>
        <w:drawing>
          <wp:inline>
            <wp:extent cx="5334000" cy="745159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ed8/qvhp5xyfq0q300pwavye89z6876zdvhm/Gaz_v_byt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515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http://nagatino-sadovniki.mos.ru/safety-and-security/pamyatki-dlya-grazhdan/detail/11135100.html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afety-and-security/pamyatki-dlya-grazhdan/detail/111351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safety-and-security/pamyatki-dlya-grazhdan/detail/111351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2023-06-28T20:34:26Z</dcterms:created>
  <dcterms:modified xsi:type="dcterms:W3CDTF">2023-06-28T20:34:26Z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