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f9cf3f7ed5af5850f87cbb4d980675a7bf85a0"/>
    <w:p>
      <w:pPr>
        <w:pStyle w:val="Heading3"/>
      </w:pPr>
      <w:r>
        <w:t xml:space="preserve">Памятка для граждан о правилах пожарной безопасности в быту!</w:t>
      </w:r>
    </w:p>
    <w:p>
      <w:pPr>
        <w:pStyle w:val="FirstParagraph"/>
      </w:pPr>
      <w:r>
        <w:t xml:space="preserve">19.10.2022</w:t>
      </w:r>
    </w:p>
    <w:p>
      <w:pPr>
        <w:pStyle w:val="BodyText"/>
      </w:pPr>
      <w:r>
        <w:drawing>
          <wp:inline>
            <wp:extent cx="5334000" cy="74515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78e/34hi5v8cwgin3itw8o3i3mxisls36798/PB_v_byt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515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http://nagatino-sadovniki.mos.ru/safety-and-security/pamyatki-dlya-grazhdan/detail/11135069.html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afety-and-security/pamyatki-dlya-grazhdan/detail/11135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afety-and-security/pamyatki-dlya-grazhdan/detail/11135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2023-06-28T20:34:23Z</dcterms:created>
  <dcterms:modified xsi:type="dcterms:W3CDTF">2023-06-28T20:34:23Z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