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1c3e694b7cd49c21e593c25eeb79963ce34bb"/>
    <w:p>
      <w:pPr>
        <w:pStyle w:val="Heading3"/>
      </w:pPr>
      <w:r>
        <w:t xml:space="preserve">Памятка для граждан о подозрительных предметах!</w:t>
      </w:r>
    </w:p>
    <w:p>
      <w:pPr>
        <w:pStyle w:val="FirstParagraph"/>
      </w:pPr>
      <w:r>
        <w:t xml:space="preserve">19.10.2022</w:t>
      </w:r>
    </w:p>
    <w:p>
      <w:pPr>
        <w:pStyle w:val="BodyText"/>
      </w:pPr>
      <w:r>
        <w:drawing>
          <wp:inline>
            <wp:extent cx="5334000" cy="79970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e08/dti2czpnkgx100ikt8ukxafyl0msfxfo/PAmyatka_podozritelnyy_predmet_30.08.20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97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http://nagatino-sadovniki.mos.ru/safety-and-security/pamyatki-dlya-grazhdan/detail/11134708.html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afety-and-security/pamyatki-dlya-grazhdan/detail/111347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afety-and-security/pamyatki-dlya-grazhdan/detail/111347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2023-06-29T01:26:27Z</dcterms:created>
  <dcterms:modified xsi:type="dcterms:W3CDTF">2023-06-29T01:26:27Z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