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7da3a06bdd08b49ef0cb9c8c90072d2f8e5b3"/>
    <w:p>
      <w:pPr>
        <w:pStyle w:val="Heading3"/>
      </w:pPr>
      <w:r>
        <w:t xml:space="preserve">Рафик Загрутдинов: 5 жилых домов строят и проектируют в районе Нагатинский Затон для переселения по реновации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rPr>
          <w:bCs/>
          <w:b/>
        </w:rPr>
        <w:t xml:space="preserve">«Сегодня на территории района Нагатинский Затон для переселения по программе реновации строят и проектируют пять жилых домов. В проектировании находятся 4 объекта жилой площадью 94,3 тыс. квадратных метров. Еще один дом находится в стадии строительства по адресу: Судостроительная улица, владение 5»,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rPr>
          <w:bCs/>
          <w:b/>
        </w:rPr>
        <w:t xml:space="preserve">«Со старта Программы в районе введено пять жилых домов . Всего в районе Нагатинский Затон новые квартиры по программе реновации получат жители 54 старых домов»,</w:t>
      </w:r>
      <w:r>
        <w:t xml:space="preserve"> </w:t>
      </w:r>
      <w:r>
        <w:t xml:space="preserve">- также добавил Рафик Загрутдинов.</w:t>
      </w:r>
    </w:p>
    <w:p>
      <w:pPr>
        <w:pStyle w:val="BodyText"/>
      </w:pPr>
      <w:r>
        <w:t xml:space="preserve">Москва – один из лидеров среди регионов по темпам и объемам строительства. За последние пять лет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 – с трех миллионов до пяти-семи миллионов квадратных метров в год.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http://nagatino-sadovniki.mos.ru/renovatsiya-zhilogo-fonda/novosti/detail/12253540.html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253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253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2024-03-19T09:52:34Z</dcterms:created>
  <dcterms:modified xsi:type="dcterms:W3CDTF">2024-03-19T09:52:34Z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