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daa23375d8eba5a5ee80084886809a064f2aa0"/>
    <w:p>
      <w:pPr>
        <w:pStyle w:val="Heading3"/>
      </w:pPr>
      <w:r>
        <w:t xml:space="preserve">В Республике Хакасия завершили строительство тепловых сетей и котельной за счет ИБК</w:t>
      </w:r>
    </w:p>
    <w:p>
      <w:pPr>
        <w:pStyle w:val="FirstParagraph"/>
      </w:pPr>
      <w:r>
        <w:t xml:space="preserve">11.10.2023</w:t>
      </w:r>
    </w:p>
    <w:p>
      <w:pPr>
        <w:pStyle w:val="BodyText"/>
      </w:pPr>
      <w:r>
        <w:t xml:space="preserve">На средства инфраструктурного бюджетного кредита (ИБК) в Республике Хакасия в селе Белый Яр построили тепловые сети и блочно-модульную котельную.</w:t>
      </w:r>
    </w:p>
    <w:p>
      <w:pPr>
        <w:pStyle w:val="BodyText"/>
      </w:pPr>
      <w:r>
        <w:t xml:space="preserve">«</w:t>
      </w:r>
      <w:r>
        <w:rPr>
          <w:iCs/>
          <w:i/>
        </w:rPr>
        <w:t xml:space="preserve">Инструмент ИБК имеет высокую социальную значимость. Благодаря его применению в регионах страны реализуются важные инфраструктурные проекты, которые положительно влияют на удобство жителей и развитие населенных пунктов. В селе Белый Яр Республики Хакасия завершено строительство тепловых сетей и блочно-модульной котельной. Новые объекты коммунальной инфраструктуры обеспечат более 10 тысяч жителей села устойчивым теплоснабжением, а также позволят вывести из эксплуатации неэффективную угольную котельную</w:t>
      </w:r>
      <w:r>
        <w:t xml:space="preserve">», – сказал первый замминистра строительства и ЖКХ РФ Александр Ломакин.</w:t>
      </w:r>
    </w:p>
    <w:p>
      <w:pPr>
        <w:pStyle w:val="BodyText"/>
      </w:pPr>
      <w:r>
        <w:t xml:space="preserve">Так, с привлечением средств ИБК построили блочно-модульную котельную на твердом топливе теплопроизводительностью 12 Гкал/ч с возможным расширением до 20 Гкал/ч и тепловую сеть протяженностью 1,6 км.</w:t>
      </w:r>
    </w:p>
    <w:p>
      <w:pPr>
        <w:pStyle w:val="BodyText"/>
      </w:pPr>
      <w:r>
        <w:t xml:space="preserve">«</w:t>
      </w:r>
      <w:r>
        <w:rPr>
          <w:iCs/>
          <w:i/>
        </w:rPr>
        <w:t xml:space="preserve">Реализация проекта c помощью ИБК в селе Белый Яр не только повысит качество предоставляемых жителям услуг, но и будет способствовать вовлечению в оборот территории площадью 60 га. Создание коммунальной инфраструктуры позволит построить там жилье, школу и детские сады, дом культуры и спортивно-оздоровительный комплекс. Такое комплексное развитие территории помогает улучшить условия жизни граждан</w:t>
      </w:r>
      <w:r>
        <w:t xml:space="preserve">», – подчеркнул Генеральный директор ППК «Фонд развития территорий» Ильшат Шагиахметов.</w:t>
      </w:r>
    </w:p>
    <w:p>
      <w:pPr>
        <w:pStyle w:val="BodyText"/>
      </w:pPr>
      <w:r>
        <w:t xml:space="preserve">Инструмент ИБК выполняет задачи социально-экономической инициативы Правительства России «Инфраструктурное меню». Оператором программы выступает Фонд развития территорий.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http://nagatino-sadovniki.mos.ru/renovatsiya-zhilogo-fonda/novosti/detail/11891312.html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renovatsiya-zhilogo-fonda/novosti/detail/1189131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renovatsiya-zhilogo-fonda/novosti/detail/1189131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2023-10-11T15:15:54Z</dcterms:created>
  <dcterms:modified xsi:type="dcterms:W3CDTF">2023-10-11T15:15:54Z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