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6e152e35b5782590527c5a47eab1edb7b245"/>
    <w:p>
      <w:pPr>
        <w:pStyle w:val="Heading3"/>
      </w:pPr>
      <w:r>
        <w:t xml:space="preserve">Андрей Бочкарёв: Программа реновации представлена на Мосурбанфоруме в Зарядье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В рамках выставочной экспозиции, на мастер-классах и других мероприятиях деловой программы Московского урбанистического форума можно познакомиться со столичным опытом реновации жилого фонда.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 является крупным градостроительным проектом. Уже сейчас подобраны участки с градостроительным потенциалом свыше 11 млн кв. м жилья», – сказал Андрей Бочкарёв.</w:t>
      </w:r>
    </w:p>
    <w:p>
      <w:pPr>
        <w:pStyle w:val="BodyText"/>
      </w:pPr>
      <w:r>
        <w:t xml:space="preserve">По словам заместителя Мэра, в рамках программы реновации уже ввели в эксплуатацию 260 новостроек, что позволило включить в процесс переселения около 130 тысяч москвичей.</w:t>
      </w:r>
    </w:p>
    <w:p>
      <w:pPr>
        <w:pStyle w:val="BodyText"/>
      </w:pPr>
      <w:r>
        <w:t xml:space="preserve">Как отметил руководитель Департамента градостроительной политики Москвы Сергей Лёвкин, для реализации программы была проделана огромная подготовительная работа. «В частности, были внесены существенные изменения в законодательную базу, а также подобраны 587 "стартовых" площадок в разных округах и районах города», - пояснил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2024-09-02T02:58:15Z</dcterms:created>
  <dcterms:modified xsi:type="dcterms:W3CDTF">2024-09-02T02:58:15Z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