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d114452c43e07e8bc20e74ecce23c723231b"/>
    <w:p>
      <w:pPr>
        <w:pStyle w:val="Heading3"/>
      </w:pPr>
      <w:r>
        <w:t xml:space="preserve">Начался снос двух пятиэтажек в районе Перово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«В районе Перово на востоке столицы на улице Плеханова по программе реновации начался демонтаж двух жилых зданий – дом 24, корпуса 3 и 4. Жители пятиэтажек переехали в новостройку на той же улице – дом 22»,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Пятиэтажки демонтируют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rPr>
          <w:bCs/>
          <w:b/>
        </w:rPr>
        <w:t xml:space="preserve">«Всего с момента старта программы реновации в Москве снесены 247 жилых домов», -</w:t>
      </w:r>
      <w:r>
        <w:t xml:space="preserve"> </w:t>
      </w:r>
      <w:r>
        <w:t xml:space="preserve">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http://nagatino-sadovniki.mos.ru/renovatsiya-zhilogo-fonda/novosti/detail/11712703.html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2023-09-21T11:44:59Z</dcterms:created>
  <dcterms:modified xsi:type="dcterms:W3CDTF">2023-09-21T11:44:59Z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