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581564664f1c80aca8bd595a0ae28bc9e680"/>
    <w:p>
      <w:pPr>
        <w:pStyle w:val="Heading3"/>
      </w:pPr>
      <w:r>
        <w:t xml:space="preserve">44 жилых дома строят и проектируют по программе реновации на севере Москвы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bCs/>
          <w:b/>
        </w:rPr>
        <w:t xml:space="preserve">«Сегодня на территории Северного административного округа для переселения по программе реновации строят и проектируют 44 жилых дома. В стадии строительства находятся 26 зданий, в проектировании – еще 18 новостроек»,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момента старта программы ввели в эксплуатацию 34 дома на 7522 квартиры. 13 из них расположены в районе Бескудниковский, 9 – в Головинском, 4 – Дмитровский, 3 – Западное Дегунино и Тимирязевский в Щукино, 1 – в Войковском и Коптево»,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http://nagatino-sadovniki.mos.ru/renovatsiya-zhilogo-fonda/novosti/detail/11535079.html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35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35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2023-06-28T20:31:08Z</dcterms:created>
  <dcterms:modified xsi:type="dcterms:W3CDTF">2023-06-28T20:31:08Z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