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267b54957cfc6565e68849f10837afcf321ee"/>
    <w:p>
      <w:pPr>
        <w:pStyle w:val="Heading3"/>
      </w:pPr>
      <w:r>
        <w:t xml:space="preserve">Новостройку на месте двух расселенных пятиэтажек введут в следующем году в районе Тимирязевский</w:t>
      </w:r>
    </w:p>
    <w:p>
      <w:pPr>
        <w:pStyle w:val="FirstParagraph"/>
      </w:pPr>
      <w:r>
        <w:t xml:space="preserve">24.03.2023</w:t>
      </w:r>
    </w:p>
    <w:p>
      <w:pPr>
        <w:pStyle w:val="BodyText"/>
      </w:pPr>
      <w:r>
        <w:rPr>
          <w:bCs/>
          <w:b/>
        </w:rPr>
        <w:t xml:space="preserve">«В районе Тимирязевский по адресу улица Всеволода Вишневского, з/у 11 в следующем году введут в эксплуатацию жилой дом для переселения по программе реновации. В настоящее время выполняется монтаж шпунтового ограждения котлована. Новостройку возводят на месте сразу двух расселенных пятиэтажек. Их жители получили новые квартиры в соседнем доме по адресу Тимирязевская улица, 8к2, который располагается менее чем в 100 метрах от домов-участников.»,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  <w:r>
        <w:br/>
      </w:r>
    </w:p>
    <w:p>
      <w:pPr>
        <w:pStyle w:val="BodyText"/>
      </w:pPr>
      <w:r>
        <w:t xml:space="preserve">Дом будет двухсекционным с подземной автостоянкой. Внешние стены дома облицуют плиткой «под кирпич», а металлическими панелями выполнят облицовку горизонтальных и вертикальных межоконных поясов. На фасадах установят металлические корзины для кондиционеров. Входные группы оформят витражным остеклением.</w:t>
      </w:r>
    </w:p>
    <w:p>
      <w:pPr>
        <w:pStyle w:val="BodyText"/>
      </w:pPr>
      <w:r>
        <w:t xml:space="preserve">Дом рассчитан на 176 квартир (однокомнатных – 25, двухкомнатных – 129, трехкомнатных – 22). Четыре квартиры оборудуют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В вестибюле жилой части разместятся: колясочная, кладовая для уборочного инвентаря, зона размещения почтовых ящиков. Для удобства перемещения между этажами в каждой секции установят по 3 грузопассажирских лифта – два грузоподъемностью 1000 кг и один грузоподъёмностью 400 кг, их оснастят визуальными и тактильными средствами информации.</w:t>
      </w:r>
    </w:p>
    <w:p>
      <w:pPr>
        <w:pStyle w:val="BodyText"/>
      </w:pPr>
      <w:r>
        <w:t xml:space="preserve">Вход в здание, пол вестибюля и лифтового холла на первом этаже предусмотрен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цветники; обустроят детскую и спортивную площадки, а также площадку для отдыха взрослых.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http://nagatino-sadovniki.mos.ru/renovatsiya-zhilogo-fonda/novosti/detail/11485639.html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4856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4856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2023-10-04T06:28:05Z</dcterms:created>
  <dcterms:modified xsi:type="dcterms:W3CDTF">2023-10-04T06:28:05Z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