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ae8696f4d84ea3077cc54407838b770f32333"/>
    <w:p>
      <w:pPr>
        <w:pStyle w:val="Heading3"/>
      </w:pPr>
      <w:r>
        <w:t xml:space="preserve">Андрей Бочкарёв: Свыше 400 домов расселено в рамках программы реновации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«Темпы расселения ветхих домов в рамках реновации постоянно нарастают. Всего со старта программы расселено уже 410 домов, в которых проживало свыше 71 тысячи человек», - сказал Андрей Бочкарёв.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отметил, что реализация программы идет равномерно по всем округам и районам города.</w:t>
      </w:r>
    </w:p>
    <w:p>
      <w:pPr>
        <w:pStyle w:val="BodyText"/>
      </w:pPr>
      <w:r>
        <w:t xml:space="preserve">«В тоже время, лидерами по расселенным домам стали: ЗАО (60 домов), ВАО (53 дома), ЮВАО (49 домов)», – рассказал Сергей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одного миллиона москвичей и предусматривает расселение 5175 домов.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http://nagatino-sadovniki.mos.ru/renovatsiya-zhilogo-fonda/novosti/detail/11454080.html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5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5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2023-10-16T15:07:26Z</dcterms:created>
  <dcterms:modified xsi:type="dcterms:W3CDTF">2023-10-16T15:07:26Z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