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c485d86cc7090f27fb2f376da3a979a7136af"/>
    <w:p>
      <w:pPr>
        <w:pStyle w:val="Heading3"/>
      </w:pPr>
      <w:r>
        <w:t xml:space="preserve">Рафик Загрутдинов: 20 жилых домов строят по программе реновации на северо-востоке Москвы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Рафик Загрутдинов: 20 жилых домов строят по программе реновации на северо-востоке Москвы</w:t>
      </w:r>
    </w:p>
    <w:p>
      <w:pPr>
        <w:pStyle w:val="BodyText"/>
      </w:pPr>
      <w:r>
        <w:rPr>
          <w:bCs/>
          <w:b/>
        </w:rPr>
        <w:t xml:space="preserve">«Сегодня на территории Северо-Восточного административного округа для переселения по программе реновации строят 20 жилых домов»,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начала этого года в округе введено 2 дома, расположенные в районах Южное Медведково и Бабушкинский. Всего в Северо-Восточном округе столицы новые квартиры по программе реновации получат жители 499 домов жилой площадью более 1,4 млн кв. метров»,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http://nagatino-sadovniki.mos.ru/renovatsiya-zhilogo-fonda/novosti/detail/11394437.html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4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4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2024-08-21T15:58:28Z</dcterms:created>
  <dcterms:modified xsi:type="dcterms:W3CDTF">2024-08-21T15:58:28Z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