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9282a1413a5ef8da209fa559daffc3fe08111"/>
    <w:p>
      <w:pPr>
        <w:pStyle w:val="Heading3"/>
      </w:pPr>
      <w:r>
        <w:t xml:space="preserve">Рафик Загрутдинов: 46 новостроек возводят на месте демонтированных домов по программе реновации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bCs/>
          <w:b/>
        </w:rPr>
        <w:t xml:space="preserve">«Программа реновации, как и планировалось, приобрела уже волновой характер. В частности, на месте 148 ветхих жилых зданий, сейчас проектируются новые дома, еще 46 новостроек возводятся и таких высвободившихся площадок год от года будет становиться все больше. Помогает и активная работа, которую Москва ведет по комплексному развитию промышленных территорий. Наряду с созданием новых рабочих мест, социальными и культурными объектами мы получили там возможность построить порядка 4 миллионов квадратных метров жилья для реновации.»,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 в интервью «Российской газете».</w:t>
      </w:r>
    </w:p>
    <w:p>
      <w:pPr>
        <w:pStyle w:val="BodyText"/>
      </w:pPr>
      <w:r>
        <w:t xml:space="preserve">Он рассказал, что первый проект реализуется в Зюзино, где на улице Одесской началось освобождение площадки. До 2028 года там планируется построить 140 тысяч квадратных метров жилья. Строятся дома по программе реновации на территории бывшего Черкизовского рынка, а также по соседству с ним в районе Гольяново на Амурской улице.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https://rg.ru/2023/01/27/reg-cfo/kvadraty-renovacii.html</w:t>
        </w:r>
      </w:hyperlink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http://nagatino-sadovniki.mos.ru/renovatsiya-zhilogo-fonda/novosti/detail/11372217.html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372217.html" TargetMode="External" /><Relationship Type="http://schemas.openxmlformats.org/officeDocument/2006/relationships/hyperlink" Id="rId20" Target="https://rg.ru/2023/01/27/reg-cfo/kvadraty-renovacii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372217.html" TargetMode="External" /><Relationship Type="http://schemas.openxmlformats.org/officeDocument/2006/relationships/hyperlink" Id="rId20" Target="https://rg.ru/2023/01/27/reg-cfo/kvadraty-renovacii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2024-08-21T04:33:14Z</dcterms:created>
  <dcterms:modified xsi:type="dcterms:W3CDTF">2024-08-21T04:33:14Z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