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17c35672a89bd33de70c39a69dca4fcc3ad5c"/>
    <w:p>
      <w:pPr>
        <w:pStyle w:val="Heading3"/>
      </w:pPr>
      <w:r>
        <w:t xml:space="preserve">Рафик Загрутдинов: «Восемь жилых домов строят и проектируют по программе реновации в районе Царицыно»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rPr>
          <w:bCs/>
          <w:b/>
        </w:rPr>
        <w:t xml:space="preserve">«В районе Царицыно для переселения по программе реновации строят и проектируют 6 жилых домов. В стадии строительства находятся 4 объекта. Жилая площадь новостроек составляет 46,6 тыс. квадратных метров. Еще 2 объекта площадью 35,1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Бехтерева ул., з/у 25/49/1</w:t>
      </w:r>
    </w:p>
    <w:p>
      <w:pPr>
        <w:pStyle w:val="BodyText"/>
      </w:pPr>
      <w:r>
        <w:t xml:space="preserve">Каспийская ул., з/у 28 (зона 4.1)</w:t>
      </w:r>
    </w:p>
    <w:p>
      <w:pPr>
        <w:pStyle w:val="BodyText"/>
      </w:pPr>
      <w:r>
        <w:t xml:space="preserve">Пролетарский пр-т, 16/3 (вл. 16, корп. 3)</w:t>
      </w:r>
    </w:p>
    <w:p>
      <w:pPr>
        <w:pStyle w:val="BodyText"/>
      </w:pPr>
      <w:r>
        <w:t xml:space="preserve">Севанская ул., з/у 60 (зона 38.1)</w:t>
      </w:r>
    </w:p>
    <w:p>
      <w:pPr>
        <w:pStyle w:val="BodyText"/>
      </w:pPr>
      <w:r>
        <w:rPr>
          <w:bCs/>
          <w:b/>
        </w:rPr>
        <w:t xml:space="preserve">«C момента старта программы реновации в районе Царицыно ввели в эксплуатацию 6 жилых домов жилой площадью 85,2 тысяч квадратных метров. Всего же по программе реновации в районе новые квартиры получат жители 141 жилых домов»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http://nagatino-sadovniki.mos.ru/renovatsiya-zhilogo-fonda/novosti/detail/11300445.html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0044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0044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2023-06-28T21:14:00Z</dcterms:created>
  <dcterms:modified xsi:type="dcterms:W3CDTF">2023-06-28T21:14:00Z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