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98ca14347746fec02bbbdf150e577d21ce9ef"/>
    <w:p>
      <w:pPr>
        <w:pStyle w:val="Heading3"/>
      </w:pPr>
      <w:r>
        <w:t xml:space="preserve">Андрей Бочкарёв: Первый этап программы реновации завершен в 17 районах столицы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rPr>
          <w:bCs/>
          <w:b/>
        </w:rPr>
        <w:t xml:space="preserve">В 17 районах столицы завершен первый этап программы реновации.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«К настоящему моменту в этих районах более 15 тысяч жителей из 86 старых домов переехали в новые квартиры или готовятся к переезду», – рассказал Андрей Бочкарёв.</w:t>
      </w:r>
    </w:p>
    <w:p>
      <w:pPr>
        <w:pStyle w:val="BodyText"/>
      </w:pPr>
      <w:r>
        <w:t xml:space="preserve">Заместитель Мэра напомнил, что всего на текущий момент в столице расселяется 281 старый жилой дом, полностью расселены еще 278 зданий.</w:t>
      </w:r>
    </w:p>
    <w:p>
      <w:pPr>
        <w:pStyle w:val="BodyText"/>
      </w:pPr>
      <w:r>
        <w:t xml:space="preserve">Руководитель Департамента градостроительной политики Сергей Лёвкин, в свою очередь, уточнил, что указанные районы расположены в Центральном, Северном, Северо-Восточном, Южном, Западном, Северо-Западном, Троицком и Новомосковском административных округах.</w:t>
      </w:r>
    </w:p>
    <w:p>
      <w:pPr>
        <w:pStyle w:val="BodyText"/>
      </w:pPr>
      <w:r>
        <w:t xml:space="preserve">«Благодаря слаженной работе городских властей продолжаются работы по подбору дополнительных «стартовых» площадок, по оптимизации сроков строительства, а также ускоряются сроки переселения жителей. Все это влияет на темпы реализации программы», – подчеркнул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Всего же в рамках программы новые квартиры получат около 1 миллиона москвичей, в столице будет расселено 5175 домов. Для ее реализации подобрана 561 «стартовая»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http://nagatino-sadovniki.mos.ru/renovatsiya-zhilogo-fonda/novosti/detail/11150191.html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501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501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2024-08-21T01:42:48Z</dcterms:created>
  <dcterms:modified xsi:type="dcterms:W3CDTF">2024-08-21T01:42:48Z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