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7ab6995270c29b69402fb5243214fadb351dd"/>
    <w:p>
      <w:pPr>
        <w:pStyle w:val="Heading3"/>
      </w:pPr>
      <w:r>
        <w:t xml:space="preserve">Рафик Загрутдинов: три первые поликлиники по реновации начнут строить в следующем году</w:t>
      </w:r>
    </w:p>
    <w:p>
      <w:pPr>
        <w:pStyle w:val="FirstParagraph"/>
      </w:pPr>
      <w:r>
        <w:t xml:space="preserve">13.10.2022</w:t>
      </w:r>
    </w:p>
    <w:p>
      <w:pPr>
        <w:pStyle w:val="BodyText"/>
      </w:pPr>
      <w:r>
        <w:rPr>
          <w:bCs/>
          <w:b/>
        </w:rPr>
        <w:t xml:space="preserve">«Планируем начать проектирование и дать старт строительству 5 новых объектов, которые планируется ввести в эксплуатацию в 2024 году. Три из них - это первые поликлиники по программе реновации: детско-взрослая на 750 посещений в смену в Некрасовке, на 200 посещений в смену - в Измайлове, на 320 посещений - в Зеленограде. Также приступим к работам по стоматологической поликлинике в районе Перово и подстанции скорой помощи в районе Царицыно», -</w:t>
      </w:r>
      <w:r>
        <w:t xml:space="preserve"> </w:t>
      </w:r>
      <w:r>
        <w:t xml:space="preserve">сообщил руководитель Департамента строительства Москвы Рафик Загрутдинов в интервью «ТАСС».</w:t>
      </w:r>
    </w:p>
    <w:p>
      <w:pPr>
        <w:pStyle w:val="BodyText"/>
      </w:pPr>
      <w:r>
        <w:t xml:space="preserve">Он отметил, что эти объекты предусматриваются в рамках комплексного освоения территории, где идет активное жилищное строительство.</w:t>
      </w:r>
    </w:p>
    <w:p>
      <w:pPr>
        <w:pStyle w:val="BodyText"/>
      </w:pPr>
      <w:r>
        <w:t xml:space="preserve">Глава Департамента также рассказал, что строительство медицинских объектов обеспечено полным рублем:</w:t>
      </w:r>
      <w:r>
        <w:t xml:space="preserve"> </w:t>
      </w:r>
      <w:r>
        <w:rPr>
          <w:bCs/>
          <w:b/>
        </w:rPr>
        <w:t xml:space="preserve">«И на этот, и на следующий год при планировании бюджета мы традиционно оставляем некий запас средств на индексацию. На строительные материалы инфляция сейчас достигает 10-12%, и имея опыт в строительстве объектов, мы закладываем соответствующий люфт из нераспределенных средств, который в рамках отрасли используем, - чтобы не разбалансировать адресную инвестиционную программу. На текущий год мы полностью обеспечены финансированием. Сейчас идет обсуждение параметров бюджета, заложенных на стройку в 2023 году, и на этой неделе правительством Москвы будет принята адресная инвестиционная программа. Но если говорить о достаточности - средства заложены, и строительство медицинских объектов обеспечено полным рублем»</w:t>
      </w:r>
    </w:p>
    <w:p>
      <w:pPr>
        <w:pStyle w:val="BodyText"/>
      </w:pPr>
      <w:r>
        <w:t xml:space="preserve">Подробнее с интервью можно ознакомиться по ссылке</w:t>
      </w:r>
      <w:r>
        <w:t xml:space="preserve"> </w:t>
      </w:r>
      <w:hyperlink r:id="rId20">
        <w:r>
          <w:rPr>
            <w:rStyle w:val="Hyperlink"/>
          </w:rPr>
          <w:t xml:space="preserve">https://tass.ru/interviews/16036739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http://nagatino-sadovniki.mos.ru/renovatsiya-zhilogo-fonda/novosti/detail/11106040.html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106040.html" TargetMode="External" /><Relationship Type="http://schemas.openxmlformats.org/officeDocument/2006/relationships/hyperlink" Id="rId20" Target="https://tass.ru/interviews/1603673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106040.html" TargetMode="External" /><Relationship Type="http://schemas.openxmlformats.org/officeDocument/2006/relationships/hyperlink" Id="rId20" Target="https://tass.ru/interviews/1603673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2024-08-21T03:20:49Z</dcterms:created>
  <dcterms:modified xsi:type="dcterms:W3CDTF">2024-08-21T03:20:49Z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