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4133f94329a384aa7358639838b9950e987cd3"/>
    <w:p>
      <w:pPr>
        <w:pStyle w:val="Heading3"/>
      </w:pPr>
      <w:r>
        <w:t xml:space="preserve">Рафик Загрутдинов: Три жилых корпуса по программе реновации введут в следующем году в районе Солнцево</w:t>
      </w:r>
    </w:p>
    <w:p>
      <w:pPr>
        <w:pStyle w:val="FirstParagraph"/>
      </w:pPr>
      <w:r>
        <w:t xml:space="preserve">10.09.2022</w:t>
      </w:r>
    </w:p>
    <w:p>
      <w:pPr>
        <w:pStyle w:val="BodyText"/>
      </w:pPr>
      <w:r>
        <w:rPr>
          <w:bCs/>
          <w:b/>
        </w:rPr>
        <w:t xml:space="preserve">«Три жилых корпуса для переселения по программе реновации введут в эксплуатацию в следующем году в районе Солнцево по адресу улица Родниковая, владение 5А. В настоящее время завершено возведение конструктива здания и монтаж кровли, ведутся фасадные и отделочные работы, а также благоустройство территории»,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Жилые корпуса будут переменной этажности, соединенные общей одноуровневой подземной автостоянкой.</w:t>
      </w:r>
    </w:p>
    <w:p>
      <w:pPr>
        <w:pStyle w:val="BodyText"/>
      </w:pPr>
      <w:r>
        <w:t xml:space="preserve">Фасады зданий облицуют полимербетонной плиткой со вставками из крупноразмерных фиброцементных панелей. На них установят декоративные корзины для кондиционеров.</w:t>
      </w:r>
    </w:p>
    <w:p>
      <w:pPr>
        <w:pStyle w:val="BodyText"/>
      </w:pPr>
      <w:r>
        <w:t xml:space="preserve">Всего в здании будет 1 044 квартиры (однокомнатных – 458, двухкомнатных – 424, трехкомнатных –162). Пять квартир оборудуют для маломобильных людей.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Во всех квартирах предусмотрены остекленные лоджии.</w:t>
      </w:r>
    </w:p>
    <w:p>
      <w:pPr>
        <w:pStyle w:val="BodyText"/>
      </w:pP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колясочные, помещения дежурного, помещение хранения уборочного инвентаря, зона для размещения почтовых ящиков и технические помещения.</w:t>
      </w:r>
    </w:p>
    <w:p>
      <w:pPr>
        <w:pStyle w:val="BodyText"/>
      </w:pPr>
      <w:r>
        <w:t xml:space="preserve">Вход в здание, пол вестибюля и лифтового холла на первых этажах выполнят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Новостройку оснастят системами охраны входа в здание, контроля и управления доступом,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озеленят и благоустроят: оборудуют детскую игровую площадку, спортивную площадку и площадки для отдыха взрослых. В дополнение к подземной одноэтажной парковке будут обустроены машиноместа на открытой плоскостной стоянке, в том числе и для маломобильных жильцов.</w:t>
      </w:r>
    </w:p>
    <w:p>
      <w:pPr>
        <w:pStyle w:val="BodyText"/>
      </w:pPr>
      <w:r>
        <w:drawing>
          <wp:inline>
            <wp:extent cx="5334000" cy="25524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00/q4w1cjdpl1f2eqp4a4z3eghl874b0gwv/AGR_Rodnikovaya_vizualizatsiya-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24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http://nagatino-sadovniki.mos.ru/renovatsiya-zhilogo-fonda/novosti/detail/11043533.html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renovatsiya-zhilogo-fonda/novosti/detail/11043533.html" TargetMode="External" /><Relationship Type="http://schemas.openxmlformats.org/officeDocument/2006/relationships/hyperlink" Id="rId23" Target="https://www.mos.ru/city/projects/renova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renovatsiya-zhilogo-fonda/novosti/detail/11043533.html" TargetMode="External" /><Relationship Type="http://schemas.openxmlformats.org/officeDocument/2006/relationships/hyperlink" Id="rId23" Target="https://www.mos.ru/city/projects/renova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2024-08-20T22:12:22Z</dcterms:created>
  <dcterms:modified xsi:type="dcterms:W3CDTF">2024-08-20T22:12:22Z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