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a3389b41adba7d52c1ab9c76b419fc1c98dec0"/>
    <w:p>
      <w:pPr>
        <w:pStyle w:val="Heading3"/>
      </w:pPr>
      <w:r>
        <w:t xml:space="preserve">Рафик Загрутдинов: Два жилых корпуса по программе реновации начали строить в районе Нижегородский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bCs/>
          <w:b/>
        </w:rPr>
        <w:t xml:space="preserve">«В районе Нижегородский по адресу Новохохловская улица, з/у 15/2 началось строительство двух жилых корпусов по программе реновации. В настоящее время на площадке ведутся работы подготовительного периода. Ввод в эксплуатацию предусмотрен в 2024 году»</w:t>
      </w:r>
      <w:r>
        <w:t xml:space="preserve">, 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Новый дом будет состоять из двух отдельных монолитных корпусов. Один разделен на три секции, другой будет односекционным. Между корпусами сформируют декоративную угловую арочную вставку и стенку со сквозными проемами. Фасады облицуют бетонной плиткой «под кирпич», на них установят металлические корзины для кондиционеров.</w:t>
      </w:r>
    </w:p>
    <w:p>
      <w:pPr>
        <w:pStyle w:val="BodyText"/>
      </w:pPr>
      <w:r>
        <w:t xml:space="preserve">Всего здесь будет 550 квартир (однокомнатных – 194, двухкомнатных – 294, трёхкомнатных – 62). Девять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будет нежилыми – здесь могут быть открыты магазины, кафе, салоны красоты, спортклубы, кружки и секции для детей. В вестибюле жилой части зданий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Вход в здание, пол вестибюлей и лифтовых холлов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</w:p>
    <w:p>
      <w:pPr>
        <w:pStyle w:val="BodyText"/>
      </w:pPr>
      <w:r>
        <w:t xml:space="preserve">Во дворе обустроят две детские площадки, спортивную зону с тренажерами и зону для тихого отдыха.</w:t>
      </w:r>
    </w:p>
    <w:p>
      <w:pPr>
        <w:pStyle w:val="BodyText"/>
      </w:pPr>
      <w:r>
        <w:drawing>
          <wp:inline>
            <wp:extent cx="5334000" cy="3125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1a/k9fw9n9yljstollbl034tr4frqp4ovzs/Nizhegorod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5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http://nagatino-sadovniki.mos.ru/renovatsiya-zhilogo-fonda/novosti/detail/11017337.html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1733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17337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2024-08-21T01:07:30Z</dcterms:created>
  <dcterms:modified xsi:type="dcterms:W3CDTF">2024-08-21T01:07:30Z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