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24983f42d17db6559be6289f7c34bfcd9cfe9"/>
    <w:p>
      <w:pPr>
        <w:pStyle w:val="Heading3"/>
      </w:pPr>
      <w:r>
        <w:t xml:space="preserve">Андрей Бочкарев: Более 300 квартир для маломобильных граждан обустроили в домах реновации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rPr>
          <w:bCs/>
          <w:b/>
        </w:rPr>
        <w:t xml:space="preserve">В 77 новостройках по программе реновации обустроено более 300 специализированных квартир под нужды жителей с ограниченной мобильностью. Об этом сообщил заместитель Мэра Москвы в правительстве Москвы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«Всего в рамках программы реновации необходимо переселить более 4 тысяч маломобильных граждан. Специализированные квартиры для участников программы обустраиваются в зависимости от потребности в том или ином микрорайоне», – сказал Андрей Бочкарёв.</w:t>
      </w:r>
    </w:p>
    <w:p>
      <w:pPr>
        <w:pStyle w:val="BodyText"/>
      </w:pPr>
      <w:r>
        <w:t xml:space="preserve">Глава Строительного комплекса отметил, что в настоящее время уже переселены более 230 маломобильных жителей. «Всего на сегодня обустроено более 300 квартир в 77 новостройках, которые располагаются в разных районах города», – добавил Андрей Бочкарёв.</w:t>
      </w:r>
    </w:p>
    <w:p>
      <w:pPr>
        <w:pStyle w:val="BodyText"/>
      </w:pPr>
      <w:r>
        <w:t xml:space="preserve">Заместитель мэра пояснил, что квартиры для людей с ограниченной мобильностью, как правило, располагаются на первых этажах новостройки. Для комфортного передвижения на входе устанавливается пандус, а в вестибюле – наклонный подъемник.</w:t>
      </w:r>
    </w:p>
    <w:p>
      <w:pPr>
        <w:pStyle w:val="BodyText"/>
      </w:pPr>
      <w:r>
        <w:t xml:space="preserve">Кроме того, к особенностям таких квартир можно отнести большие холлы и расширенные дверные проемы.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http://nagatino-sadovniki.mos.ru/renovatsiya-zhilogo-fonda/novosti/detail/10968362.html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68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68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2024-08-21T12:27:13Z</dcterms:created>
  <dcterms:modified xsi:type="dcterms:W3CDTF">2024-08-21T12:27:13Z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