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6568a0092fbfbd0ba284f5948b4e6bc603c7e"/>
    <w:p>
      <w:pPr>
        <w:pStyle w:val="Heading3"/>
      </w:pPr>
      <w:r>
        <w:t xml:space="preserve">Заключение по результатам публичных слушаний по проекту планировки территории квартала ограниченного Каширским шоссе Старокаширским шоссе внутриквартальным проездом, по адресу Каширское шоссе, вл. 16.</w:t>
      </w:r>
    </w:p>
    <w:p>
      <w:pPr>
        <w:pStyle w:val="FirstParagraph"/>
      </w:pPr>
      <w:r>
        <w:t xml:space="preserve">03.09.2015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http://nagatino-sadovniki.mos.ru/public-hearings/conclusion-based-on-the-results-of-public-hearings/detail/2123997.html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ublic-hearings/conclusion-based-on-the-results-of-public-hearings/detail/21239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ublic-hearings/conclusion-based-on-the-results-of-public-hearings/detail/21239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2023-10-04T04:10:22Z</dcterms:created>
  <dcterms:modified xsi:type="dcterms:W3CDTF">2023-10-04T04:10:22Z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