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f3a4da725ca8dcfde3e9d86f1996025782931"/>
    <w:p>
      <w:pPr>
        <w:pStyle w:val="Heading3"/>
      </w:pPr>
      <w:r>
        <w:t xml:space="preserve">Что такое совокупная обязанность и как она формируется?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Совокупная обязанность по уплате налогов и сборов – это сумма налогов, авансовых платежей, сборов, страховых взносов, пеней, штрафов, процентов, которую налогоплательщик обязан перечислить в счет погашения своих обязательств перед бюджетом Российской Федерации, а также сумма налога, подлежащая возврату в бюджет. Она отображается на Едином налоговом счете налогоплательщика.</w:t>
      </w:r>
    </w:p>
    <w:p>
      <w:pPr>
        <w:pStyle w:val="BodyText"/>
      </w:pPr>
      <w:r>
        <w:t xml:space="preserve">Формируется совокупная обязанность на основании документов, которые имеются в налоговой. К ним относятся:</w:t>
      </w:r>
    </w:p>
    <w:p>
      <w:pPr>
        <w:pStyle w:val="BodyText"/>
      </w:pPr>
      <w:r>
        <w:t xml:space="preserve">1. декларации;</w:t>
      </w:r>
    </w:p>
    <w:p>
      <w:pPr>
        <w:pStyle w:val="BodyText"/>
      </w:pPr>
      <w:r>
        <w:t xml:space="preserve">2. уведомления;</w:t>
      </w:r>
    </w:p>
    <w:p>
      <w:pPr>
        <w:pStyle w:val="BodyText"/>
      </w:pPr>
      <w:r>
        <w:t xml:space="preserve">3. расчеты/перерасчеты суммы налога по автоматизированной упрощенной системе налогообложения (АУСН) и налога на профессиональный доход (НПД);</w:t>
      </w:r>
    </w:p>
    <w:p>
      <w:pPr>
        <w:pStyle w:val="BodyText"/>
      </w:pPr>
      <w:r>
        <w:t xml:space="preserve">4. сообщения об исчисленных налоговой суммах налогов;</w:t>
      </w:r>
    </w:p>
    <w:p>
      <w:pPr>
        <w:pStyle w:val="BodyText"/>
      </w:pPr>
      <w:r>
        <w:t xml:space="preserve">5. решения налогового органа о предоставлении отсрочки, рассрочки;</w:t>
      </w:r>
    </w:p>
    <w:p>
      <w:pPr>
        <w:pStyle w:val="BodyText"/>
      </w:pPr>
      <w:r>
        <w:t xml:space="preserve">6. решения по результатам мероприятий налогового контроля;</w:t>
      </w:r>
    </w:p>
    <w:p>
      <w:pPr>
        <w:pStyle w:val="BodyText"/>
      </w:pPr>
      <w:r>
        <w:t xml:space="preserve">7. судебные акты, решения вышестоящих органов и исполнительные документы.</w:t>
      </w:r>
    </w:p>
    <w:p>
      <w:pPr>
        <w:pStyle w:val="BodyText"/>
      </w:pPr>
      <w:r>
        <w:t xml:space="preserve">Источник:</w:t>
      </w:r>
    </w:p>
    <w:p>
      <w:pPr>
        <w:pStyle w:val="BodyText"/>
      </w:pPr>
      <w:r>
        <w:t xml:space="preserve">Статья 11 Налогового кодекса РФ;</w:t>
      </w:r>
    </w:p>
    <w:p>
      <w:pPr>
        <w:pStyle w:val="BodyText"/>
      </w:pPr>
      <w:r>
        <w:t xml:space="preserve">Статья 11.3 Налогового кодекса РФ;</w:t>
      </w:r>
    </w:p>
    <w:p>
      <w:pPr>
        <w:pStyle w:val="BodyText"/>
      </w:pPr>
      <w:r>
        <w:t xml:space="preserve">Статья 227.1 Налогового кодекса РФ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http://nagatino-sadovniki.mos.ru/presscenter/news/detail/12746991.html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746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746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2025-02-19T08:14:54Z</dcterms:created>
  <dcterms:modified xsi:type="dcterms:W3CDTF">2025-02-19T08:14:54Z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