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e97d50423be5076d54c82bff91820ae806bbf"/>
    <w:p>
      <w:pPr>
        <w:pStyle w:val="Heading3"/>
      </w:pPr>
      <w:r>
        <w:t xml:space="preserve">Увеличение зон платных городских парковок на 1,2% (80 улиц/участков улиц) в 16 районах города Москвы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t xml:space="preserve">В Департаменте транспорта и развития дорожно-транспортной инфраструктуры города Москвы утвержден приказ от 17.01.2020 № 61-02-9/20 «Об утверждении территориальных зон организации платных городских парковок» (далее – приказ), в соответствии с которым зона платных городских парковок увеличивается на 1,2% (80 улиц/участков улиц) в 16 районах города Москвы.</w:t>
      </w:r>
    </w:p>
    <w:p>
      <w:pPr>
        <w:pStyle w:val="BodyText"/>
      </w:pPr>
      <w:r>
        <w:t xml:space="preserve">Приказ вступает в силу с 17 февраля 2020 года, однако, жители домов, расположенных по указанным в приказе адресам, могут оформлять резидентные парковочные разрешения уже сейчас.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http://nagatino-sadovniki.mos.ru/parking/paid-city-parking-is-available-across-the-street/news_parking/detail/8637077.html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863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863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2024-08-25T09:12:49Z</dcterms:created>
  <dcterms:modified xsi:type="dcterms:W3CDTF">2024-08-25T09:12:49Z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