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4297fe095531439636b645bdbb04843c845c7"/>
    <w:p>
      <w:pPr>
        <w:pStyle w:val="Heading3"/>
      </w:pPr>
      <w:r>
        <w:t xml:space="preserve">СПОСОБЫ ФОРМИРОВАНИЯ ФОНДА КАПИТАЛЬНОГО РЕМОНТА</w:t>
      </w:r>
    </w:p>
    <w:p>
      <w:pPr>
        <w:pStyle w:val="FirstParagraph"/>
      </w:pPr>
      <w:r>
        <w:t xml:space="preserve">18.07.2018</w:t>
      </w:r>
    </w:p>
    <w:p>
      <w:pPr>
        <w:pStyle w:val="BodyText"/>
      </w:pPr>
      <w:r>
        <w:rPr>
          <w:bCs/>
          <w:b/>
        </w:rPr>
        <w:t xml:space="preserve">Уважаемый житель района Нагатино-Садовники!</w:t>
      </w:r>
    </w:p>
    <w:p>
      <w:pPr>
        <w:pStyle w:val="BodyText"/>
      </w:pPr>
      <w:r>
        <w:t xml:space="preserve">Право выбора способа формирования фонда капитального ремонта принадлежит собственникам помещений в многоквартирном доме. Решение о выборе способа формирования фонда капитального ремонта должно приниматься общим собранием, количеством голосов не менее 2/3 от общего числа голосов собственников помещений в многоквартирном доме.</w:t>
      </w:r>
    </w:p>
    <w:p>
      <w:pPr>
        <w:pStyle w:val="BodyText"/>
      </w:pPr>
      <w:r>
        <w:t xml:space="preserve">Способ управления многоквартирным домом не ограничивает собственников помещений в выборе способа формирования фонда капитального ремонта. При любом способе управления домом собственники помещений могут выбрать способ формирования фонда капитального ремонта, как на специальном счете, так и у регионального оператора. Но если выбран специальный счет, то определение лица, которое может быть владельцем специального счета, зависит от способа управления домом.</w:t>
      </w:r>
    </w:p>
    <w:p>
      <w:pPr>
        <w:pStyle w:val="BodyText"/>
      </w:pPr>
      <w:r>
        <w:t xml:space="preserve">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течение срока, установленного органом государственной власти субъекта Российской Федерации, но не более чем в течение двух месяцев после официального опубликования утвержденной региональной программы капитального ремонта.</w:t>
      </w:r>
    </w:p>
    <w:p>
      <w:pPr>
        <w:pStyle w:val="BodyText"/>
      </w:pPr>
      <w:r>
        <w:t xml:space="preserve">Владельцем специального счета может быть:</w:t>
      </w:r>
    </w:p>
    <w:p>
      <w:pPr>
        <w:pStyle w:val="BodyText"/>
      </w:pPr>
      <w:r>
        <w:t xml:space="preserve">-товарищество собственников жилья, осуществляющее управление многоквартирным домом и созданное собственниками помещений в одном многоквартирном доме или нескольких многоквартирных домах;</w:t>
      </w:r>
    </w:p>
    <w:p>
      <w:pPr>
        <w:pStyle w:val="BodyText"/>
      </w:pPr>
      <w:r>
        <w:t xml:space="preserve">-жилищный кооператив или иной специализированный потребительский кооператив;</w:t>
      </w:r>
    </w:p>
    <w:p>
      <w:pPr>
        <w:pStyle w:val="BodyText"/>
      </w:pPr>
      <w:r>
        <w:t xml:space="preserve">-управляющая организация.</w:t>
      </w:r>
    </w:p>
    <w:p>
      <w:pPr>
        <w:pStyle w:val="BodyText"/>
      </w:pPr>
      <w:r>
        <w:t xml:space="preserve">Контроль за выбором способа формирования фондов капитального ремонта осуществляет орган государственной власти. Орган государственного власти информирует орган местного самоуправления и регионального оператора о многоквартирных домах, собственники помещений в которых не выбрали способ формирования фондов капитального ремонта и (или) не реализовали его.</w:t>
      </w:r>
    </w:p>
    <w:p>
      <w:pPr>
        <w:pStyle w:val="BodyText"/>
      </w:pPr>
      <w:r>
        <w:t xml:space="preserve">В случае если собственники помещений в установленный срок не выбрали или не реализовали выбранный способ формирования фонда капитального ремонта, орган местного самоуправления принимает решение о формировании фонда капитального ремонта в отношении такого многоквартирного дома на счете регионального оператора. Но до этого (не позднее чем за месяц до окончания установленного срока) орган местного самоуправления должен созвать общее собрание в многоквартирном доме для принятия решения о выборе способа формирования фонда капитального ремонта.</w:t>
      </w:r>
    </w:p>
    <w:p>
      <w:pPr>
        <w:pStyle w:val="BodyText"/>
      </w:pPr>
      <w:r>
        <w:t xml:space="preserve">Так же получит более подробную информацию Вы можете получить на сайте Фонда капитального ремонт города Москвы, перейдя по ссылке: http://fond.mos.ru.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http://nagatino-sadovniki.mos.ru/overhaul/information-materials/detail/7456021.html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overhaul/information-materials/detail/74560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overhaul/information-materials/detail/74560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2024-09-01T06:51:19Z</dcterms:created>
  <dcterms:modified xsi:type="dcterms:W3CDTF">2024-09-01T06:51:19Z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