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9b635a83b43aeab93d40d7c8bf6211c2cfb2"/>
    <w:p>
      <w:pPr>
        <w:pStyle w:val="Heading3"/>
      </w:pPr>
      <w:r>
        <w:t xml:space="preserve">Замена водосточных колодцев на улицах Москвы</w:t>
      </w:r>
    </w:p>
    <w:p>
      <w:pPr>
        <w:pStyle w:val="FirstParagraph"/>
      </w:pPr>
      <w:r>
        <w:t xml:space="preserve">03.12.2018</w:t>
      </w:r>
    </w:p>
    <w:p>
      <w:pPr>
        <w:pStyle w:val="BodyText"/>
      </w:pPr>
      <w:r>
        <w:t xml:space="preserve">На сегодняшний день в городе Москве протяженность водосточной сети составляет около 8000 км, на которой расположено более 287 000 смотровых и более 109 000 водоприемных колодцев.</w:t>
      </w:r>
    </w:p>
    <w:p>
      <w:pPr>
        <w:pStyle w:val="BodyText"/>
      </w:pPr>
      <w:r>
        <w:t xml:space="preserve">При проектировании дождеприемников учитываются условия городской среды и особенности рельефа местности, на которой в случае возникновения «лишней» воды необходим её оперативный отвод. Обычно их располагают в пониженных местах, а именно в сторону городских дорог и проездов. Как следствие, колодцы подвержены постоянным нагрузкам в виде: автомобилей, суровых погодных условий и бытового мусора попадающего в сеть вместе с городским стоком. Несмотря на прочную железобетонную конструкцию, колодцы со временем деформируются. В таком случае, необходима их оперативная замена.</w:t>
      </w:r>
    </w:p>
    <w:p>
      <w:pPr>
        <w:pStyle w:val="BodyText"/>
      </w:pPr>
      <w:r>
        <w:t xml:space="preserve">С начала текущего года отремонтировано более 12 500 водосточных колодцев, заменено 5 500 верхнего оборудования на водосточных колодцах, около 1900 км водосточной сети промыто.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http://nagatino-sadovniki.mos.ru/housing-and-communal-services-and-improvement/news/detail/7735797.html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735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7735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2024-09-06T16:18:07Z</dcterms:created>
  <dcterms:modified xsi:type="dcterms:W3CDTF">2024-09-06T16:18:07Z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