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41ace7ea6c71188a27a8a09ea4d8ef7adc555"/>
    <w:p>
      <w:pPr>
        <w:pStyle w:val="Heading3"/>
      </w:pPr>
      <w:r>
        <w:t xml:space="preserve">Информация о транспортных средствах, признанных БРТС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Управа района Нагатино-Садовники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продолжается работа по выявлению и перемещению автотранспортных средств с признаками брошенности и разукомплектованности (далее – БРТС) на специализированную автостоянку временного хранения.</w:t>
      </w:r>
    </w:p>
    <w:p>
      <w:pPr>
        <w:pStyle w:val="BodyText"/>
      </w:pPr>
      <w:r>
        <w:t xml:space="preserve">В случае необращения владельца в течение трёх месяцев по поводу возврата БРТС управа района Нагатино-Садовники в установленном порядке осуществляет мероприятия по обращению такого транспортного средства в собственность города Москвы для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необходимо обратиться в управу района по телефону:</w:t>
      </w:r>
    </w:p>
    <w:p>
      <w:pPr>
        <w:pStyle w:val="BodyText"/>
      </w:pPr>
      <w:r>
        <w:t xml:space="preserve">8-499-612-05-62.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http://nagatino-sadovniki.mos.ru/housing-and-communal-services-and-improvement/information-about-brts/detail/12839074.html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283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283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2025-07-29T16:09:23Z</dcterms:created>
  <dcterms:modified xsi:type="dcterms:W3CDTF">2025-07-29T16:09:23Z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