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ольнение-за-прогул."/>
    <w:p>
      <w:pPr>
        <w:pStyle w:val="Heading3"/>
      </w:pPr>
      <w:r>
        <w:t xml:space="preserve">Увольнение за прогул.</w:t>
      </w:r>
    </w:p>
    <w:p>
      <w:pPr>
        <w:pStyle w:val="FirstParagraph"/>
      </w:pPr>
      <w:r>
        <w:t xml:space="preserve">25.04.2016</w:t>
      </w:r>
    </w:p>
    <w:p>
      <w:pPr>
        <w:pStyle w:val="BodyText"/>
      </w:pPr>
      <w:r>
        <w:t xml:space="preserve">В соответствии с пп. «а» п.6 ч.1 ст.81 Трудового кодекса Российской Федерации (далее – ТК РФ) работодатель вправе уволить работника за прогул, то есть за отсутствие на рабочем месте без уважительных причин в течение всего рабочего дня или смены независимо от их продолжительности. Также могут уволить в случае отсутствия на рабочем месте без уважительных причин более четырех часов подряд в течение рабочего дня (смены).</w:t>
      </w:r>
    </w:p>
    <w:p>
      <w:pPr>
        <w:pStyle w:val="BodyText"/>
      </w:pPr>
      <w:r>
        <w:t xml:space="preserve">ТК РФ не содержит перечня уважительных причин для отсутствия работника на рабочем месте. Однако уважительными могут быть признаны следующие причины:</w:t>
      </w:r>
    </w:p>
    <w:p>
      <w:pPr>
        <w:pStyle w:val="BodyText"/>
      </w:pPr>
      <w:r>
        <w:t xml:space="preserve">1) временная нетрудоспособность;</w:t>
      </w:r>
    </w:p>
    <w:p>
      <w:pPr>
        <w:pStyle w:val="BodyText"/>
      </w:pPr>
      <w:r>
        <w:t xml:space="preserve">2) исполнение общественных или государственных обязанностей (ст.170 ТК РФ);</w:t>
      </w:r>
    </w:p>
    <w:p>
      <w:pPr>
        <w:pStyle w:val="BodyText"/>
      </w:pPr>
      <w:r>
        <w:t xml:space="preserve">3) сдача крови и ее компонентов, а также проведение связанного с этим медицинского обследования (ст.186 ТК РФ;</w:t>
      </w:r>
    </w:p>
    <w:p>
      <w:pPr>
        <w:pStyle w:val="BodyText"/>
      </w:pPr>
      <w:r>
        <w:t xml:space="preserve">4) участие в забастовке (ст.414 ТК РФ);</w:t>
      </w:r>
    </w:p>
    <w:p>
      <w:pPr>
        <w:pStyle w:val="BodyText"/>
      </w:pPr>
      <w:r>
        <w:t xml:space="preserve">5) заключение под стражу;</w:t>
      </w:r>
    </w:p>
    <w:p>
      <w:pPr>
        <w:pStyle w:val="BodyText"/>
      </w:pPr>
      <w:r>
        <w:t xml:space="preserve">6) чрезвычайные ситуации, повлекшие транспортные проблемы, такие как, например, отмена или задержка рейса;</w:t>
      </w:r>
    </w:p>
    <w:p>
      <w:pPr>
        <w:pStyle w:val="BodyText"/>
      </w:pPr>
      <w:r>
        <w:t xml:space="preserve">7) приостановление работы из-за задержки выплаты заработной платы более чем на 15 дней (при уведомлении работодателя в письменной форме) (ст.142 ТК РФ).</w:t>
      </w:r>
    </w:p>
    <w:p>
      <w:pPr>
        <w:pStyle w:val="BodyText"/>
      </w:pPr>
      <w:r>
        <w:t xml:space="preserve">В качестве подтверждения причины своего отсутствия работник может представить работодателю листок нетрудоспособности, повестку в суд, справку из медицинского учреждения, от транспортной организации и др.</w:t>
      </w:r>
    </w:p>
    <w:p>
      <w:pPr>
        <w:pStyle w:val="BodyText"/>
      </w:pPr>
      <w:r>
        <w:t xml:space="preserve">До применения дисциплинарного взыскания в виде увольнения работодатель должен затребовать от работника письменное объяснение о причинах его отсутствия на работе. Если по истечении двух рабочих дней работник объяснение не представил, то работодатель обязан составить об этом акт (ч.1 ст.193 ТК РФ).</w:t>
      </w:r>
    </w:p>
    <w:p>
      <w:pPr>
        <w:pStyle w:val="BodyText"/>
      </w:pPr>
      <w:r>
        <w:t xml:space="preserve">Работодатель вправе уволить работника за прогул, если работник откажется представить письменные объяснения о причинах отсутствия на рабочем месте, а также подтверждающие эти причины документы.</w:t>
      </w:r>
    </w:p>
    <w:p>
      <w:pPr>
        <w:pStyle w:val="BodyText"/>
      </w:pPr>
      <w:r>
        <w:t xml:space="preserve">Игорь Кукса, прокурор Южного административного округа г.Москвы</w:t>
      </w:r>
    </w:p>
    <w:p>
      <w:pPr>
        <w:pStyle w:val="BodyText"/>
      </w:pPr>
      <w:r>
        <w:t xml:space="preserve">05.04.2016</w:t>
      </w:r>
    </w:p>
    <w:p>
      <w:pPr>
        <w:pStyle w:val="BodyText"/>
      </w:pPr>
      <w:r>
        <w:t xml:space="preserve">Главам Управ районов</w:t>
      </w:r>
    </w:p>
    <w:p>
      <w:pPr>
        <w:pStyle w:val="BodyText"/>
      </w:pPr>
      <w:r>
        <w:t xml:space="preserve">Бирюлево – Восточное</w:t>
      </w:r>
    </w:p>
    <w:p>
      <w:pPr>
        <w:pStyle w:val="BodyText"/>
      </w:pPr>
      <w:r>
        <w:t xml:space="preserve">Бирюлево -Западное</w:t>
      </w:r>
    </w:p>
    <w:p>
      <w:pPr>
        <w:pStyle w:val="BodyText"/>
      </w:pPr>
      <w:r>
        <w:t xml:space="preserve">Братеево</w:t>
      </w:r>
    </w:p>
    <w:p>
      <w:pPr>
        <w:pStyle w:val="BodyText"/>
      </w:pPr>
      <w:r>
        <w:t xml:space="preserve">Даниловский</w:t>
      </w:r>
    </w:p>
    <w:p>
      <w:pPr>
        <w:pStyle w:val="BodyText"/>
      </w:pPr>
      <w:r>
        <w:t xml:space="preserve">Донской</w:t>
      </w:r>
    </w:p>
    <w:p>
      <w:pPr>
        <w:pStyle w:val="BodyText"/>
      </w:pPr>
      <w:r>
        <w:t xml:space="preserve">Зябликово</w:t>
      </w:r>
    </w:p>
    <w:p>
      <w:pPr>
        <w:pStyle w:val="BodyText"/>
      </w:pPr>
      <w:r>
        <w:t xml:space="preserve">Москворечье-Сабурово</w:t>
      </w:r>
    </w:p>
    <w:p>
      <w:pPr>
        <w:pStyle w:val="BodyText"/>
      </w:pPr>
      <w:r>
        <w:t xml:space="preserve">Нагатино-Садовники</w:t>
      </w:r>
    </w:p>
    <w:p>
      <w:pPr>
        <w:pStyle w:val="BodyText"/>
      </w:pPr>
      <w:r>
        <w:t xml:space="preserve">Нагатинский Затон</w:t>
      </w:r>
    </w:p>
    <w:p>
      <w:pPr>
        <w:pStyle w:val="BodyText"/>
      </w:pPr>
      <w:r>
        <w:t xml:space="preserve">Нагорный</w:t>
      </w:r>
    </w:p>
    <w:p>
      <w:pPr>
        <w:pStyle w:val="BodyText"/>
      </w:pPr>
      <w:r>
        <w:t xml:space="preserve">Орехово-Борисово Северное</w:t>
      </w:r>
    </w:p>
    <w:p>
      <w:pPr>
        <w:pStyle w:val="BodyText"/>
      </w:pPr>
      <w:r>
        <w:t xml:space="preserve">Орехово-Борисово Южное</w:t>
      </w:r>
    </w:p>
    <w:p>
      <w:pPr>
        <w:pStyle w:val="BodyText"/>
      </w:pPr>
      <w:r>
        <w:t xml:space="preserve">Царицыно</w:t>
      </w:r>
    </w:p>
    <w:p>
      <w:pPr>
        <w:pStyle w:val="BodyText"/>
      </w:pPr>
      <w:r>
        <w:t xml:space="preserve">Чертаново Северное</w:t>
      </w:r>
    </w:p>
    <w:p>
      <w:pPr>
        <w:pStyle w:val="BodyText"/>
      </w:pPr>
      <w:r>
        <w:t xml:space="preserve">Чертаново Центральное</w:t>
      </w:r>
    </w:p>
    <w:p>
      <w:pPr>
        <w:pStyle w:val="BodyText"/>
      </w:pPr>
      <w:r>
        <w:t xml:space="preserve">Чертаново Южное</w:t>
      </w:r>
    </w:p>
    <w:p>
      <w:pPr>
        <w:pStyle w:val="BodyText"/>
      </w:pPr>
      <w:r>
        <w:t xml:space="preserve">Направляется для размещения на Интернет-сайтах территориальных органов исполнительной власти, Интернет газетах статья прокурора Южного административного округа г. Москвы «Увольнение за прогул»</w:t>
      </w:r>
    </w:p>
    <w:p>
      <w:pPr>
        <w:pStyle w:val="BodyText"/>
      </w:pPr>
      <w:r>
        <w:t xml:space="preserve">Информацию о публикации в сети Интернет прошу Вас направить в прокуратуру округа для помощника прокурора Ступниковой С.А. (факс 8(499)612-95-83)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Приложение: на 1 л. – в каждый адрес.</w:t>
      </w:r>
    </w:p>
    <w:p>
      <w:pPr>
        <w:pStyle w:val="BodyText"/>
      </w:pPr>
      <w:r>
        <w:t xml:space="preserve">Прокурор округа И.Н. Кукса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http://nagatino-sadovniki.mos.ru/anti-corruption/the-commission-for-observance-of-requirements-for-the-official-behaviour-of-state-civil-employees-of/detail/2846068.html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the-commission-for-observance-of-requirements-for-the-official-behaviour-of-state-civil-employees-of/detail/2846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the-commission-for-observance-of-requirements-for-the-official-behaviour-of-state-civil-employees-of/detail/2846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2024-09-18T04:52:22Z</dcterms:created>
  <dcterms:modified xsi:type="dcterms:W3CDTF">2024-09-18T04:52:22Z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