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9635da0f79ac0c94d240d5596bc70ec05fc76"/>
    <w:p>
      <w:pPr>
        <w:pStyle w:val="Heading3"/>
      </w:pPr>
      <w:r>
        <w:t xml:space="preserve">Рабочая группа управы района Нагатино-Садовники города Москвы по противодействию коррупции</w:t>
      </w:r>
    </w:p>
    <w:p>
      <w:pPr>
        <w:pStyle w:val="FirstParagraph"/>
      </w:pPr>
      <w:r>
        <w:t xml:space="preserve">09.09.2014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http://nagatino-sadovniki.mos.ru/anti-corruption/the-commission-for-observance-of-requirements-for-the-official-behaviour-of-state-civil-employees-of/detail/1173195.html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173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the-commission-for-observance-of-requirements-for-the-official-behaviour-of-state-civil-employees-of/detail/1173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2024-03-23T22:40:08Z</dcterms:created>
  <dcterms:modified xsi:type="dcterms:W3CDTF">2024-03-23T22:40:08Z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