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867b5703143faadd60667b6bde302daa2384b1"/>
    <w:p>
      <w:pPr>
        <w:pStyle w:val="Heading3"/>
      </w:pPr>
      <w:r>
        <w:t xml:space="preserve">Состав комиссии, осуществляющей функции по определению стоимости подарков</w:t>
      </w:r>
    </w:p>
    <w:p>
      <w:pPr>
        <w:pStyle w:val="FirstParagraph"/>
      </w:pPr>
      <w:r>
        <w:t xml:space="preserve">10.04.2015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http://nagatino-sadovniki.mos.ru/anti-corruption/the-commission-for-observance-of-requirements-for-the-official-behaviour-of-state-civil-employees-of/detail/1125702.html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anti-corruption/the-commission-for-observance-of-requirements-for-the-official-behaviour-of-state-civil-employees-of/detail/11257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anti-corruption/the-commission-for-observance-of-requirements-for-the-official-behaviour-of-state-civil-employees-of/detail/11257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2024-08-27T12:15:37Z</dcterms:created>
  <dcterms:modified xsi:type="dcterms:W3CDTF">2024-08-27T12:15:37Z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