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ff70ed01b2af852de07866bd9c8da12970319"/>
    <w:p>
      <w:pPr>
        <w:pStyle w:val="Heading3"/>
      </w:pPr>
      <w:r>
        <w:t xml:space="preserve">13 мая 2014 года состоялось заседание Комиссии по соблюдению требований к служебному поведению государственных гражданских служащих управы района Нагатино-Садовники города Москвы и урегулированию конфликта интересов</w:t>
      </w:r>
    </w:p>
    <w:p>
      <w:pPr>
        <w:pStyle w:val="FirstParagraph"/>
      </w:pPr>
      <w:r>
        <w:t xml:space="preserve">13.05.2014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Об организационных мероприятиях по противодействию коррупции в управе района Нагатино-Садовники города Москвы.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О результатах проверки достоверности и полноты сведений, предоставленных гражданами, претендующими на замещение должностей государственной гражданской службы города Москвы.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О предоставленных за период с 01 января по 31 декабря 2013 года справках о доходах, об имуществе и обязательствах имущественного характера лиц, замещающих государственные должности города Москвы и должности государственной гражданской службы города Москвы и сведений о расходах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сделка, государственного гражданского служащего города Москвы и лица, замещающего государственную должность города Москвы, и членов их семей.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Об уведомлении главы управы района Нагатино-Садовники города Москвы представителем нанимателя лица, ранее замещавшего должность государственной гражданской службы города Москвы в управе района Нагатино-Садовники города Москвы.</w:t>
      </w:r>
    </w:p>
    <w:p>
      <w:pPr>
        <w:pStyle w:val="BodyText"/>
      </w:pPr>
      <w:r>
        <w:rPr>
          <w:bCs/>
          <w:b/>
        </w:rPr>
        <w:t xml:space="preserve">ПОСТАНОВИЛИ: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Принять рассмотренную информацию к сведению.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http://nagatino-sadovniki.mos.ru/anti-corruption/the-commission-for-observance-of-requirements-for-the-official-behaviour-of-state-civil-employees-of/detail/1036032.html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1036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1036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2024-07-11T12:25:16Z</dcterms:created>
  <dcterms:modified xsi:type="dcterms:W3CDTF">2024-07-11T12:25:16Z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